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0EB6" w:rsidRPr="000E0EB6" w:rsidRDefault="000E0EB6" w:rsidP="000E0EB6">
      <w:pPr>
        <w:spacing w:before="100" w:beforeAutospacing="1"/>
        <w:outlineLvl w:val="0"/>
        <w:rPr>
          <w:rFonts w:ascii="Arial" w:eastAsia="Times New Roman" w:hAnsi="Arial" w:cs="Arial"/>
          <w:b/>
          <w:color w:val="1F1F1F"/>
          <w:bdr w:val="none" w:sz="0" w:space="0" w:color="auto" w:frame="1"/>
        </w:rPr>
      </w:pPr>
      <w:r w:rsidRPr="000E0EB6">
        <w:rPr>
          <w:rFonts w:ascii="Arial" w:eastAsia="Times New Roman" w:hAnsi="Arial" w:cs="Arial"/>
          <w:b/>
          <w:color w:val="1F1F1F"/>
          <w:bdr w:val="none" w:sz="0" w:space="0" w:color="auto" w:frame="1"/>
        </w:rPr>
        <w:t>Read Me First</w:t>
      </w:r>
    </w:p>
    <w:p w:rsidR="000E0EB6" w:rsidRPr="000E0EB6" w:rsidRDefault="000E0EB6" w:rsidP="000E0EB6">
      <w:pPr>
        <w:spacing w:before="100" w:beforeAutospacing="1"/>
        <w:outlineLvl w:val="0"/>
        <w:rPr>
          <w:rFonts w:ascii="Arial" w:eastAsia="Times New Roman" w:hAnsi="Arial" w:cs="Arial"/>
          <w:b/>
          <w:bCs/>
          <w:color w:val="1F1F1F"/>
          <w:kern w:val="36"/>
          <w:sz w:val="22"/>
          <w:szCs w:val="22"/>
        </w:rPr>
      </w:pPr>
      <w:r w:rsidRPr="000E0EB6">
        <w:rPr>
          <w:rFonts w:ascii="Arial" w:eastAsia="Times New Roman" w:hAnsi="Arial" w:cs="Arial"/>
          <w:b/>
          <w:bCs/>
          <w:color w:val="1F1F1F"/>
          <w:kern w:val="36"/>
          <w:sz w:val="22"/>
          <w:szCs w:val="22"/>
        </w:rPr>
        <w:t>HR in a Box: Successful Employee Onboarding Deployment Guide</w:t>
      </w:r>
    </w:p>
    <w:p w:rsidR="000E0EB6" w:rsidRPr="000E0EB6" w:rsidRDefault="000E0EB6" w:rsidP="000E0EB6">
      <w:pPr>
        <w:spacing w:before="100" w:beforeAutospacing="1"/>
        <w:rPr>
          <w:rFonts w:ascii="Arial" w:eastAsia="Times New Roman" w:hAnsi="Arial" w:cs="Arial"/>
          <w:color w:val="1F1F1F"/>
          <w:sz w:val="22"/>
          <w:szCs w:val="22"/>
        </w:rPr>
      </w:pPr>
      <w:r w:rsidRPr="000E0EB6">
        <w:rPr>
          <w:rFonts w:ascii="Arial" w:eastAsia="Times New Roman" w:hAnsi="Arial" w:cs="Arial"/>
          <w:color w:val="1F1F1F"/>
          <w:sz w:val="22"/>
          <w:szCs w:val="22"/>
          <w:bdr w:val="none" w:sz="0" w:space="0" w:color="auto" w:frame="1"/>
        </w:rPr>
        <w:t xml:space="preserve">Welcome to </w:t>
      </w:r>
      <w:r w:rsidRPr="000E0EB6">
        <w:rPr>
          <w:rFonts w:ascii="Arial" w:eastAsia="Times New Roman" w:hAnsi="Arial" w:cs="Arial"/>
          <w:b/>
          <w:bCs/>
          <w:color w:val="1F1F1F"/>
          <w:sz w:val="22"/>
          <w:szCs w:val="22"/>
          <w:bdr w:val="none" w:sz="0" w:space="0" w:color="auto" w:frame="1"/>
        </w:rPr>
        <w:t>HR in a Box</w:t>
      </w:r>
      <w:r w:rsidRPr="000E0EB6">
        <w:rPr>
          <w:rFonts w:ascii="Arial" w:eastAsia="Times New Roman" w:hAnsi="Arial" w:cs="Arial"/>
          <w:color w:val="1F1F1F"/>
          <w:sz w:val="22"/>
          <w:szCs w:val="22"/>
          <w:bdr w:val="none" w:sz="0" w:space="0" w:color="auto" w:frame="1"/>
        </w:rPr>
        <w:t>. In the 2025–2027 UK legal landscape, onboarding has evolved from a simple "welcome" into a critical risk-management system. With Day-One rights to unfair dismissal protection and new statutory mandates, how you integrate a new hire determines your legal defensibility.</w:t>
      </w:r>
      <w:r w:rsidRPr="000E0EB6">
        <w:rPr>
          <w:rFonts w:ascii="Arial" w:eastAsia="Times New Roman" w:hAnsi="Arial" w:cs="Arial"/>
          <w:color w:val="1F1F1F"/>
          <w:sz w:val="22"/>
          <w:szCs w:val="22"/>
        </w:rPr>
        <w:t xml:space="preserve"> </w:t>
      </w:r>
    </w:p>
    <w:p w:rsidR="000E0EB6" w:rsidRPr="000E0EB6" w:rsidRDefault="000E0EB6" w:rsidP="000E0EB6">
      <w:pPr>
        <w:spacing w:before="100" w:beforeAutospacing="1"/>
        <w:rPr>
          <w:rFonts w:ascii="Arial" w:eastAsia="Times New Roman" w:hAnsi="Arial" w:cs="Arial"/>
          <w:color w:val="1F1F1F"/>
          <w:sz w:val="22"/>
          <w:szCs w:val="22"/>
        </w:rPr>
      </w:pPr>
      <w:r w:rsidRPr="000E0EB6">
        <w:rPr>
          <w:rFonts w:ascii="Arial" w:eastAsia="Times New Roman" w:hAnsi="Arial" w:cs="Arial"/>
          <w:color w:val="1F1F1F"/>
          <w:sz w:val="22"/>
          <w:szCs w:val="22"/>
          <w:bdr w:val="none" w:sz="0" w:space="0" w:color="auto" w:frame="1"/>
        </w:rPr>
        <w:t>This toolkit provides a structured, 90-day roadmap to move your new hire from a place of uncertainty to one of high-impact contribution.</w:t>
      </w:r>
      <w:r w:rsidRPr="000E0EB6">
        <w:rPr>
          <w:rFonts w:ascii="Arial" w:eastAsia="Times New Roman" w:hAnsi="Arial" w:cs="Arial"/>
          <w:color w:val="1F1F1F"/>
          <w:sz w:val="22"/>
          <w:szCs w:val="22"/>
        </w:rPr>
        <w:t xml:space="preserve"> </w:t>
      </w:r>
    </w:p>
    <w:p w:rsidR="000E0EB6" w:rsidRPr="000E0EB6" w:rsidRDefault="000E0EB6" w:rsidP="000E0EB6">
      <w:pPr>
        <w:spacing w:before="100" w:beforeAutospacing="1"/>
        <w:outlineLvl w:val="2"/>
        <w:rPr>
          <w:rFonts w:ascii="Arial" w:eastAsia="Times New Roman" w:hAnsi="Arial" w:cs="Arial"/>
          <w:b/>
          <w:bCs/>
          <w:color w:val="1F1F1F"/>
          <w:sz w:val="22"/>
          <w:szCs w:val="22"/>
        </w:rPr>
      </w:pPr>
      <w:r w:rsidRPr="000E0EB6">
        <w:rPr>
          <w:rFonts w:ascii="Arial" w:eastAsia="Times New Roman" w:hAnsi="Arial" w:cs="Arial"/>
          <w:b/>
          <w:bCs/>
          <w:color w:val="1F1F1F"/>
          <w:sz w:val="22"/>
          <w:szCs w:val="22"/>
        </w:rPr>
        <w:t xml:space="preserve">The </w:t>
      </w:r>
      <w:r>
        <w:rPr>
          <w:rFonts w:ascii="Arial" w:eastAsia="Times New Roman" w:hAnsi="Arial" w:cs="Arial"/>
          <w:b/>
          <w:bCs/>
          <w:color w:val="1F1F1F"/>
          <w:sz w:val="22"/>
          <w:szCs w:val="22"/>
        </w:rPr>
        <w:t xml:space="preserve">Induction &amp; Onboarding </w:t>
      </w:r>
      <w:r w:rsidRPr="000E0EB6">
        <w:rPr>
          <w:rFonts w:ascii="Arial" w:eastAsia="Times New Roman" w:hAnsi="Arial" w:cs="Arial"/>
          <w:b/>
          <w:bCs/>
          <w:color w:val="1F1F1F"/>
          <w:sz w:val="22"/>
          <w:szCs w:val="22"/>
        </w:rPr>
        <w:t>: Document &amp; Template Suite</w:t>
      </w:r>
    </w:p>
    <w:p w:rsidR="000E0EB6" w:rsidRPr="000E0EB6" w:rsidRDefault="000E0EB6" w:rsidP="000E0EB6">
      <w:pPr>
        <w:spacing w:before="100" w:beforeAutospacing="1"/>
        <w:rPr>
          <w:rFonts w:ascii="Arial" w:eastAsia="Times New Roman" w:hAnsi="Arial" w:cs="Arial"/>
          <w:color w:val="1F1F1F"/>
          <w:sz w:val="22"/>
          <w:szCs w:val="22"/>
        </w:rPr>
      </w:pPr>
      <w:r w:rsidRPr="000E0EB6">
        <w:rPr>
          <w:rFonts w:ascii="Arial" w:eastAsia="Times New Roman" w:hAnsi="Arial" w:cs="Arial"/>
          <w:color w:val="1F1F1F"/>
          <w:sz w:val="22"/>
          <w:szCs w:val="22"/>
          <w:bdr w:val="none" w:sz="0" w:space="0" w:color="auto" w:frame="1"/>
        </w:rPr>
        <w:t>To ensure clean folder organization and avoid extraction errors, all files follow the chronological journey of your new starter:</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01</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Welcome</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Letter</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Template</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professional introductory document confirming the manager, start date, and the first-week induction schedule to build immediate confidence.</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02</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New</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Starter</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and</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Bank</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Details</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Form</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centralized data capture form for essential personal information, National Insurance numbers, and payroll processing.</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03</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Emergency</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Contact</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Form</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dedicated form to capture primary and secondary contact details and Next of Kin information for health and safety compliance.</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04</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Right</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to</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Work</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Checklist</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mandatory verification log to ensure original passports or share codes are seen and copied before Day One to avoid fines exceeding £45,000.</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05</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Day</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One</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Statutory</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Compliance</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Checklist_2026</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critical verification tool ensuring you have met "Preventative Duties" regarding sexual harassment, Day-One SSP rights, and the Right to Disconnect.</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06</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Induction</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Checklist (Day 1 to Month 1)</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workflow tracker covering everything from workspace orientation and IT setup to technical systems training and initial objective setting.</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07</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IT</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and</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Systems</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Access</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Form</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An internal control document to manage hardware issuance (laptops/phones) and secure access to HR, CRM, and payroll systems.</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08</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Training</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and</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Probation</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Plan (The 90-Day Roadmap)</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structured milestone document mapping out mandatory compliance training (GDPR/H&amp;S) and formal reviews at Week 2, Month 1, Month 3, and the Month 6 final gate.</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09</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Role</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Specific</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Training</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and</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Competency</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Log</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An evidentiary record where employees sign off on specific tasks to prove they feel "competent and safe" to perform their role.</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10</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Policies</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Acknowledgement</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Form</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lastRenderedPageBreak/>
        <w:t>Purpose:</w:t>
      </w:r>
      <w:r w:rsidRPr="000E0EB6">
        <w:rPr>
          <w:rFonts w:ascii="Arial" w:eastAsia="Times New Roman" w:hAnsi="Arial" w:cs="Arial"/>
          <w:color w:val="1F1F1F"/>
          <w:sz w:val="22"/>
          <w:szCs w:val="22"/>
          <w:bdr w:val="none" w:sz="0" w:space="0" w:color="auto" w:frame="1"/>
        </w:rPr>
        <w:t xml:space="preserve"> A vital "sign-off" sheet where the employee confirms they have read and understood the Handbook and core statutory policies.</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1"/>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11</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New</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Starter</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Kit</w:t>
      </w:r>
      <w:r>
        <w:rPr>
          <w:rFonts w:ascii="Arial" w:eastAsia="Times New Roman" w:hAnsi="Arial" w:cs="Arial"/>
          <w:b/>
          <w:bCs/>
          <w:color w:val="1F1F1F"/>
          <w:sz w:val="22"/>
          <w:szCs w:val="22"/>
          <w:bdr w:val="none" w:sz="0" w:space="0" w:color="auto" w:frame="1"/>
        </w:rPr>
        <w:t xml:space="preserve"> </w:t>
      </w:r>
      <w:r w:rsidRPr="000E0EB6">
        <w:rPr>
          <w:rFonts w:ascii="Arial" w:eastAsia="Times New Roman" w:hAnsi="Arial" w:cs="Arial"/>
          <w:b/>
          <w:bCs/>
          <w:color w:val="1F1F1F"/>
          <w:sz w:val="22"/>
          <w:szCs w:val="22"/>
          <w:bdr w:val="none" w:sz="0" w:space="0" w:color="auto" w:frame="1"/>
        </w:rPr>
        <w:t>Checklist (Employer Internal)</w:t>
      </w:r>
    </w:p>
    <w:p w:rsidR="000E0EB6" w:rsidRPr="000E0EB6" w:rsidRDefault="000E0EB6" w:rsidP="000E0EB6">
      <w:pPr>
        <w:numPr>
          <w:ilvl w:val="2"/>
          <w:numId w:val="1"/>
        </w:numPr>
        <w:spacing w:before="100" w:beforeAutospacing="1"/>
        <w:rPr>
          <w:rFonts w:ascii="Arial" w:eastAsia="Times New Roman" w:hAnsi="Arial" w:cs="Arial"/>
          <w:color w:val="1F1F1F"/>
          <w:sz w:val="22"/>
          <w:szCs w:val="22"/>
        </w:rPr>
      </w:pPr>
      <w:r w:rsidRPr="000E0EB6">
        <w:rPr>
          <w:rFonts w:ascii="Arial" w:eastAsia="Times New Roman" w:hAnsi="Arial" w:cs="Arial"/>
          <w:i/>
          <w:iCs/>
          <w:color w:val="1F1F1F"/>
          <w:sz w:val="22"/>
          <w:szCs w:val="22"/>
          <w:bdr w:val="none" w:sz="0" w:space="0" w:color="auto" w:frame="1"/>
        </w:rPr>
        <w:t>Purpose:</w:t>
      </w:r>
      <w:r w:rsidRPr="000E0EB6">
        <w:rPr>
          <w:rFonts w:ascii="Arial" w:eastAsia="Times New Roman" w:hAnsi="Arial" w:cs="Arial"/>
          <w:color w:val="1F1F1F"/>
          <w:sz w:val="22"/>
          <w:szCs w:val="22"/>
          <w:bdr w:val="none" w:sz="0" w:space="0" w:color="auto" w:frame="1"/>
        </w:rPr>
        <w:t xml:space="preserve"> A pre-arrival "manager's cheat sheet" to ensure equipment is ready, the team is briefed, and the "Buddy" is assigned.</w:t>
      </w:r>
      <w:r w:rsidRPr="000E0EB6">
        <w:rPr>
          <w:rFonts w:ascii="Arial" w:eastAsia="Times New Roman" w:hAnsi="Arial" w:cs="Arial"/>
          <w:color w:val="1F1F1F"/>
          <w:sz w:val="22"/>
          <w:szCs w:val="22"/>
        </w:rPr>
        <w:t xml:space="preserve"> </w:t>
      </w:r>
    </w:p>
    <w:p w:rsidR="000E0EB6" w:rsidRPr="000E0EB6" w:rsidRDefault="000E0EB6" w:rsidP="000E0EB6">
      <w:pPr>
        <w:spacing w:before="100" w:beforeAutospacing="1"/>
        <w:outlineLvl w:val="2"/>
        <w:rPr>
          <w:rFonts w:ascii="Arial" w:eastAsia="Times New Roman" w:hAnsi="Arial" w:cs="Arial"/>
          <w:b/>
          <w:bCs/>
          <w:color w:val="1F1F1F"/>
          <w:sz w:val="22"/>
          <w:szCs w:val="22"/>
        </w:rPr>
      </w:pPr>
      <w:r w:rsidRPr="000E0EB6">
        <w:rPr>
          <w:rFonts w:ascii="Arial" w:eastAsia="Times New Roman" w:hAnsi="Arial" w:cs="Arial"/>
          <w:b/>
          <w:bCs/>
          <w:color w:val="1F1F1F"/>
          <w:sz w:val="22"/>
          <w:szCs w:val="22"/>
        </w:rPr>
        <w:t>3 Steps for a High-Impact Onboarding Experience</w:t>
      </w:r>
    </w:p>
    <w:p w:rsidR="000E0EB6" w:rsidRPr="000E0EB6" w:rsidRDefault="000E0EB6" w:rsidP="000E0EB6">
      <w:pPr>
        <w:numPr>
          <w:ilvl w:val="0"/>
          <w:numId w:val="2"/>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The "Buddy" System:</w:t>
      </w:r>
      <w:r w:rsidRPr="000E0EB6">
        <w:rPr>
          <w:rFonts w:ascii="Arial" w:eastAsia="Times New Roman" w:hAnsi="Arial" w:cs="Arial"/>
          <w:color w:val="1F1F1F"/>
          <w:sz w:val="22"/>
          <w:szCs w:val="22"/>
          <w:bdr w:val="none" w:sz="0" w:space="0" w:color="auto" w:frame="1"/>
        </w:rPr>
        <w:t xml:space="preserve"> Assign a peer-level colleague (not the manager) to be a "Safe Space" for the first 90 days. This person helps the new hire decode "internal speak" and helps them feel socially confident.</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2"/>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Verify, Don't Just Give:</w:t>
      </w:r>
      <w:r w:rsidRPr="000E0EB6">
        <w:rPr>
          <w:rFonts w:ascii="Arial" w:eastAsia="Times New Roman" w:hAnsi="Arial" w:cs="Arial"/>
          <w:color w:val="1F1F1F"/>
          <w:sz w:val="22"/>
          <w:szCs w:val="22"/>
          <w:bdr w:val="none" w:sz="0" w:space="0" w:color="auto" w:frame="1"/>
        </w:rPr>
        <w:t xml:space="preserve"> Under 2026 guidelines, you must verify that the employee understands their rights. Use the </w:t>
      </w:r>
      <w:r w:rsidRPr="000E0EB6">
        <w:rPr>
          <w:rFonts w:ascii="Arial" w:eastAsia="Times New Roman" w:hAnsi="Arial" w:cs="Arial"/>
          <w:b/>
          <w:bCs/>
          <w:color w:val="1F1F1F"/>
          <w:sz w:val="22"/>
          <w:szCs w:val="22"/>
          <w:bdr w:val="none" w:sz="0" w:space="0" w:color="auto" w:frame="1"/>
        </w:rPr>
        <w:t>Policy Acknowledgement Form (Doc 10)</w:t>
      </w:r>
      <w:r w:rsidRPr="000E0EB6">
        <w:rPr>
          <w:rFonts w:ascii="Arial" w:eastAsia="Times New Roman" w:hAnsi="Arial" w:cs="Arial"/>
          <w:color w:val="1F1F1F"/>
          <w:sz w:val="22"/>
          <w:szCs w:val="22"/>
          <w:bdr w:val="none" w:sz="0" w:space="0" w:color="auto" w:frame="1"/>
        </w:rPr>
        <w:t xml:space="preserve"> to create a digital audit trail.</w:t>
      </w:r>
      <w:r w:rsidRPr="000E0EB6">
        <w:rPr>
          <w:rFonts w:ascii="Arial" w:eastAsia="Times New Roman" w:hAnsi="Arial" w:cs="Arial"/>
          <w:color w:val="1F1F1F"/>
          <w:sz w:val="22"/>
          <w:szCs w:val="22"/>
        </w:rPr>
        <w:t xml:space="preserve"> </w:t>
      </w:r>
    </w:p>
    <w:p w:rsidR="000E0EB6" w:rsidRPr="000E0EB6" w:rsidRDefault="000E0EB6" w:rsidP="000E0EB6">
      <w:pPr>
        <w:numPr>
          <w:ilvl w:val="0"/>
          <w:numId w:val="2"/>
        </w:numPr>
        <w:spacing w:before="100" w:beforeAutospacing="1"/>
        <w:ind w:left="0"/>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90-Day Narrative:</w:t>
      </w:r>
      <w:r w:rsidRPr="000E0EB6">
        <w:rPr>
          <w:rFonts w:ascii="Arial" w:eastAsia="Times New Roman" w:hAnsi="Arial" w:cs="Arial"/>
          <w:color w:val="1F1F1F"/>
          <w:sz w:val="22"/>
          <w:szCs w:val="22"/>
          <w:bdr w:val="none" w:sz="0" w:space="0" w:color="auto" w:frame="1"/>
        </w:rPr>
        <w:t xml:space="preserve"> Use the </w:t>
      </w:r>
      <w:r w:rsidRPr="000E0EB6">
        <w:rPr>
          <w:rFonts w:ascii="Arial" w:eastAsia="Times New Roman" w:hAnsi="Arial" w:cs="Arial"/>
          <w:b/>
          <w:bCs/>
          <w:color w:val="1F1F1F"/>
          <w:sz w:val="22"/>
          <w:szCs w:val="22"/>
          <w:bdr w:val="none" w:sz="0" w:space="0" w:color="auto" w:frame="1"/>
        </w:rPr>
        <w:t>Training &amp; Probation Plan (Doc 08)</w:t>
      </w:r>
      <w:r w:rsidRPr="000E0EB6">
        <w:rPr>
          <w:rFonts w:ascii="Arial" w:eastAsia="Times New Roman" w:hAnsi="Arial" w:cs="Arial"/>
          <w:color w:val="1F1F1F"/>
          <w:sz w:val="22"/>
          <w:szCs w:val="22"/>
          <w:bdr w:val="none" w:sz="0" w:space="0" w:color="auto" w:frame="1"/>
        </w:rPr>
        <w:t xml:space="preserve"> to ensure there are no surprises. Regular check-ins help identify "early exit" risks</w:t>
      </w:r>
      <w:r>
        <w:rPr>
          <w:rFonts w:ascii="Arial" w:eastAsia="Times New Roman" w:hAnsi="Arial" w:cs="Arial"/>
          <w:color w:val="1F1F1F"/>
          <w:sz w:val="22"/>
          <w:szCs w:val="22"/>
          <w:bdr w:val="none" w:sz="0" w:space="0" w:color="auto" w:frame="1"/>
        </w:rPr>
        <w:t xml:space="preserve"> </w:t>
      </w:r>
      <w:r w:rsidRPr="000E0EB6">
        <w:rPr>
          <w:rFonts w:ascii="Arial" w:eastAsia="Times New Roman" w:hAnsi="Arial" w:cs="Arial"/>
          <w:color w:val="1F1F1F"/>
          <w:sz w:val="22"/>
          <w:szCs w:val="22"/>
          <w:bdr w:val="none" w:sz="0" w:space="0" w:color="auto" w:frame="1"/>
        </w:rPr>
        <w:t>22% of UK employees leave within six months due to poor onboarding.</w:t>
      </w:r>
      <w:r w:rsidRPr="000E0EB6">
        <w:rPr>
          <w:rFonts w:ascii="Arial" w:eastAsia="Times New Roman" w:hAnsi="Arial" w:cs="Arial"/>
          <w:color w:val="1F1F1F"/>
          <w:sz w:val="22"/>
          <w:szCs w:val="22"/>
        </w:rPr>
        <w:t xml:space="preserve"> </w:t>
      </w:r>
    </w:p>
    <w:p w:rsidR="000E0EB6" w:rsidRPr="000E0EB6" w:rsidRDefault="000E0EB6" w:rsidP="000E0EB6">
      <w:pPr>
        <w:spacing w:before="100" w:beforeAutospacing="1"/>
        <w:outlineLvl w:val="2"/>
        <w:rPr>
          <w:rFonts w:ascii="Arial" w:eastAsia="Times New Roman" w:hAnsi="Arial" w:cs="Arial"/>
          <w:b/>
          <w:bCs/>
          <w:color w:val="1F1F1F"/>
          <w:sz w:val="22"/>
          <w:szCs w:val="22"/>
        </w:rPr>
      </w:pPr>
      <w:r w:rsidRPr="000E0EB6">
        <w:rPr>
          <w:rFonts w:ascii="Arial" w:eastAsia="Times New Roman" w:hAnsi="Arial" w:cs="Arial"/>
          <w:b/>
          <w:bCs/>
          <w:color w:val="1F1F1F"/>
          <w:sz w:val="22"/>
          <w:szCs w:val="22"/>
        </w:rPr>
        <w:t>Important Operational Disclaimer</w:t>
      </w:r>
    </w:p>
    <w:p w:rsidR="000E0EB6" w:rsidRPr="000E0EB6" w:rsidRDefault="000E0EB6" w:rsidP="000E0EB6">
      <w:pPr>
        <w:spacing w:before="100" w:beforeAutospacing="1"/>
        <w:rPr>
          <w:rFonts w:ascii="Arial" w:eastAsia="Times New Roman" w:hAnsi="Arial" w:cs="Arial"/>
          <w:color w:val="1F1F1F"/>
          <w:sz w:val="22"/>
          <w:szCs w:val="22"/>
        </w:rPr>
      </w:pPr>
      <w:r w:rsidRPr="000E0EB6">
        <w:rPr>
          <w:rFonts w:ascii="Arial" w:eastAsia="Times New Roman" w:hAnsi="Arial" w:cs="Arial"/>
          <w:color w:val="1F1F1F"/>
          <w:sz w:val="22"/>
          <w:szCs w:val="22"/>
          <w:bdr w:val="none" w:sz="0" w:space="0" w:color="auto" w:frame="1"/>
        </w:rPr>
        <w:t>The information and templates provided are for general operational guidance only. Every document has been verified by an FCIPD practitioner, but this toolkit does not constitute formal legal advice. Small business owners are strongly advised to have final tailored versions reviewed by an employment law specialist to ensure specific workforce demographics are protected.</w:t>
      </w:r>
      <w:r w:rsidRPr="000E0EB6">
        <w:rPr>
          <w:rFonts w:ascii="Arial" w:eastAsia="Times New Roman" w:hAnsi="Arial" w:cs="Arial"/>
          <w:color w:val="1F1F1F"/>
          <w:sz w:val="22"/>
          <w:szCs w:val="22"/>
        </w:rPr>
        <w:t xml:space="preserve"> </w:t>
      </w:r>
    </w:p>
    <w:p w:rsidR="000E0EB6" w:rsidRPr="000E0EB6" w:rsidRDefault="000E0EB6" w:rsidP="000E0EB6">
      <w:pPr>
        <w:spacing w:before="100" w:beforeAutospacing="1"/>
        <w:rPr>
          <w:rFonts w:ascii="Arial" w:eastAsia="Times New Roman" w:hAnsi="Arial" w:cs="Arial"/>
          <w:color w:val="1F1F1F"/>
          <w:sz w:val="22"/>
          <w:szCs w:val="22"/>
        </w:rPr>
      </w:pPr>
      <w:r w:rsidRPr="000E0EB6">
        <w:rPr>
          <w:rFonts w:ascii="Arial" w:eastAsia="Times New Roman" w:hAnsi="Arial" w:cs="Arial"/>
          <w:b/>
          <w:bCs/>
          <w:color w:val="1F1F1F"/>
          <w:sz w:val="22"/>
          <w:szCs w:val="22"/>
          <w:bdr w:val="none" w:sz="0" w:space="0" w:color="auto" w:frame="1"/>
        </w:rPr>
        <w:t>Support &amp; Operational Updates:</w:t>
      </w:r>
      <w:r w:rsidRPr="000E0EB6">
        <w:rPr>
          <w:rFonts w:ascii="Arial" w:eastAsia="Times New Roman" w:hAnsi="Arial" w:cs="Arial"/>
          <w:color w:val="1F1F1F"/>
          <w:sz w:val="22"/>
          <w:szCs w:val="22"/>
          <w:bdr w:val="none" w:sz="0" w:space="0" w:color="auto" w:frame="1"/>
        </w:rPr>
        <w:t xml:space="preserve"> </w:t>
      </w:r>
      <w:r>
        <w:rPr>
          <w:rFonts w:ascii="Arial" w:eastAsia="Times New Roman" w:hAnsi="Arial" w:cs="Arial"/>
          <w:color w:val="1F1F1F"/>
          <w:sz w:val="22"/>
          <w:szCs w:val="22"/>
          <w:bdr w:val="none" w:sz="0" w:space="0" w:color="auto" w:frame="1"/>
        </w:rPr>
        <w:t>info</w:t>
      </w:r>
      <w:r w:rsidRPr="000E0EB6">
        <w:rPr>
          <w:rFonts w:ascii="Arial" w:eastAsia="Times New Roman" w:hAnsi="Arial" w:cs="Arial"/>
          <w:color w:val="1F1F1F"/>
          <w:sz w:val="22"/>
          <w:szCs w:val="22"/>
          <w:bdr w:val="none" w:sz="0" w:space="0" w:color="auto" w:frame="1"/>
        </w:rPr>
        <w:t>@hrinabox.uk</w:t>
      </w:r>
      <w:r w:rsidRPr="000E0EB6">
        <w:rPr>
          <w:rFonts w:ascii="Arial" w:eastAsia="Times New Roman" w:hAnsi="Arial" w:cs="Arial"/>
          <w:color w:val="1F1F1F"/>
          <w:sz w:val="22"/>
          <w:szCs w:val="22"/>
        </w:rPr>
        <w:t xml:space="preserve"> </w:t>
      </w:r>
    </w:p>
    <w:p w:rsidR="00383E4B" w:rsidRPr="000E0EB6" w:rsidRDefault="009F3EB1">
      <w:pPr>
        <w:rPr>
          <w:rFonts w:ascii="Arial" w:hAnsi="Arial" w:cs="Arial"/>
          <w:sz w:val="22"/>
          <w:szCs w:val="22"/>
        </w:rPr>
      </w:pPr>
    </w:p>
    <w:sectPr w:rsidR="00383E4B" w:rsidRPr="000E0EB6" w:rsidSect="00055F7B">
      <w:headerReference w:type="even" r:id="rId7"/>
      <w:headerReference w:type="default" r:id="rId8"/>
      <w:footerReference w:type="even" r:id="rId9"/>
      <w:footerReference w:type="default" r:id="rId10"/>
      <w:headerReference w:type="first" r:id="rId11"/>
      <w:footerReference w:type="first" r:id="rId12"/>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F3EB1" w:rsidRDefault="009F3EB1" w:rsidP="000E0EB6">
      <w:r>
        <w:separator/>
      </w:r>
    </w:p>
  </w:endnote>
  <w:endnote w:type="continuationSeparator" w:id="0">
    <w:p w:rsidR="009F3EB1" w:rsidRDefault="009F3EB1" w:rsidP="000E0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rsidP="000E0EB6">
    <w:pPr>
      <w:pStyle w:val="Footer"/>
    </w:pPr>
    <w:r>
      <w:rPr>
        <w:noProof/>
      </w:rPr>
      <w:drawing>
        <wp:inline distT="0" distB="0" distL="0" distR="0" wp14:anchorId="33EE631C" wp14:editId="5B5CEF4E">
          <wp:extent cx="603115" cy="60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CIPD Reveiwed log.png"/>
                  <pic:cNvPicPr/>
                </pic:nvPicPr>
                <pic:blipFill>
                  <a:blip r:embed="rId1">
                    <a:extLst>
                      <a:ext uri="{28A0092B-C50C-407E-A947-70E740481C1C}">
                        <a14:useLocalDpi xmlns:a14="http://schemas.microsoft.com/office/drawing/2010/main" val="0"/>
                      </a:ext>
                    </a:extLst>
                  </a:blip>
                  <a:stretch>
                    <a:fillRect/>
                  </a:stretch>
                </pic:blipFill>
                <pic:spPr>
                  <a:xfrm>
                    <a:off x="0" y="0"/>
                    <a:ext cx="627032" cy="627032"/>
                  </a:xfrm>
                  <a:prstGeom prst="rect">
                    <a:avLst/>
                  </a:prstGeom>
                </pic:spPr>
              </pic:pic>
            </a:graphicData>
          </a:graphic>
        </wp:inline>
      </w:drawing>
    </w:r>
    <w:r w:rsidRPr="000E0EB6">
      <w:t xml:space="preserve"> </w:t>
    </w:r>
    <w:r>
      <w:t xml:space="preserve">Property of </w:t>
    </w:r>
    <w:proofErr w:type="spellStart"/>
    <w:r>
      <w:t>hrinabox</w:t>
    </w:r>
    <w:proofErr w:type="spellEnd"/>
    <w:r>
      <w:t xml:space="preserve"> not for external distribution </w:t>
    </w:r>
  </w:p>
  <w:p w:rsidR="000E0EB6" w:rsidRDefault="000E0EB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F3EB1" w:rsidRDefault="009F3EB1" w:rsidP="000E0EB6">
      <w:r>
        <w:separator/>
      </w:r>
    </w:p>
  </w:footnote>
  <w:footnote w:type="continuationSeparator" w:id="0">
    <w:p w:rsidR="009F3EB1" w:rsidRDefault="009F3EB1" w:rsidP="000E0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pPr>
      <w:pStyle w:val="Header"/>
    </w:pPr>
    <w:bookmarkStart w:id="0" w:name="_GoBack"/>
    <w:r w:rsidRPr="000E0EB6">
      <w:drawing>
        <wp:inline distT="0" distB="0" distL="0" distR="0" wp14:anchorId="3F30D463" wp14:editId="7B806CBF">
          <wp:extent cx="960422" cy="62257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99850" cy="648129"/>
                  </a:xfrm>
                  <a:prstGeom prst="rect">
                    <a:avLst/>
                  </a:prstGeom>
                </pic:spPr>
              </pic:pic>
            </a:graphicData>
          </a:graphic>
        </wp:inline>
      </w:drawing>
    </w:r>
    <w:bookmarkEnd w:id="0"/>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0EB6" w:rsidRDefault="000E0E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300296"/>
    <w:multiLevelType w:val="multilevel"/>
    <w:tmpl w:val="D1B6E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701534DD"/>
    <w:multiLevelType w:val="multilevel"/>
    <w:tmpl w:val="89D673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EB6"/>
    <w:rsid w:val="00055F7B"/>
    <w:rsid w:val="000E0EB6"/>
    <w:rsid w:val="003159C6"/>
    <w:rsid w:val="003C59E8"/>
    <w:rsid w:val="009F3EB1"/>
    <w:rsid w:val="00BD4C68"/>
    <w:rsid w:val="00D16C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17268527"/>
  <w15:chartTrackingRefBased/>
  <w15:docId w15:val="{2E97C3A4-3B05-8749-BCA9-DEA2B629A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0E0EB6"/>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E0EB6"/>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0EB6"/>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E0EB6"/>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0E0EB6"/>
    <w:pPr>
      <w:spacing w:before="100" w:beforeAutospacing="1" w:after="100" w:afterAutospacing="1"/>
    </w:pPr>
    <w:rPr>
      <w:rFonts w:ascii="Times New Roman" w:eastAsia="Times New Roman" w:hAnsi="Times New Roman" w:cs="Times New Roman"/>
    </w:rPr>
  </w:style>
  <w:style w:type="paragraph" w:styleId="Header">
    <w:name w:val="header"/>
    <w:basedOn w:val="Normal"/>
    <w:link w:val="HeaderChar"/>
    <w:uiPriority w:val="99"/>
    <w:unhideWhenUsed/>
    <w:rsid w:val="000E0EB6"/>
    <w:pPr>
      <w:tabs>
        <w:tab w:val="center" w:pos="4680"/>
        <w:tab w:val="right" w:pos="9360"/>
      </w:tabs>
    </w:pPr>
  </w:style>
  <w:style w:type="character" w:customStyle="1" w:styleId="HeaderChar">
    <w:name w:val="Header Char"/>
    <w:basedOn w:val="DefaultParagraphFont"/>
    <w:link w:val="Header"/>
    <w:uiPriority w:val="99"/>
    <w:rsid w:val="000E0EB6"/>
  </w:style>
  <w:style w:type="paragraph" w:styleId="Footer">
    <w:name w:val="footer"/>
    <w:basedOn w:val="Normal"/>
    <w:link w:val="FooterChar"/>
    <w:uiPriority w:val="99"/>
    <w:unhideWhenUsed/>
    <w:rsid w:val="000E0EB6"/>
    <w:pPr>
      <w:tabs>
        <w:tab w:val="center" w:pos="4680"/>
        <w:tab w:val="right" w:pos="9360"/>
      </w:tabs>
    </w:pPr>
  </w:style>
  <w:style w:type="character" w:customStyle="1" w:styleId="FooterChar">
    <w:name w:val="Footer Char"/>
    <w:basedOn w:val="DefaultParagraphFont"/>
    <w:link w:val="Footer"/>
    <w:uiPriority w:val="99"/>
    <w:rsid w:val="000E0E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0237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2</Pages>
  <Words>568</Words>
  <Characters>3243</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cp:revision>
  <dcterms:created xsi:type="dcterms:W3CDTF">2026-06-01T08:28:00Z</dcterms:created>
  <dcterms:modified xsi:type="dcterms:W3CDTF">2026-06-01T08:40:00Z</dcterms:modified>
</cp:coreProperties>
</file>